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383115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383115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383115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8311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83115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905D0A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0539CA" w:rsidRPr="00D07E34" w:rsidRDefault="00430E0C" w:rsidP="008B51C4">
      <w:pPr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8B51C4" w:rsidRPr="00DF71A8">
        <w:rPr>
          <w:rFonts w:cs="Arial"/>
          <w:b/>
        </w:rPr>
        <w:t>SO 1</w:t>
      </w:r>
      <w:r w:rsidR="008B51C4">
        <w:rPr>
          <w:rFonts w:cs="Arial"/>
          <w:b/>
        </w:rPr>
        <w:t>05</w:t>
      </w:r>
      <w:r w:rsidR="008B51C4" w:rsidRPr="00DF71A8">
        <w:rPr>
          <w:rFonts w:cs="Arial"/>
          <w:b/>
        </w:rPr>
        <w:t xml:space="preserve"> </w:t>
      </w:r>
      <w:r w:rsidR="008B51C4">
        <w:rPr>
          <w:rFonts w:cs="Arial"/>
          <w:b/>
        </w:rPr>
        <w:t>Účelová komunikácia medzi križovatkou „D“</w:t>
      </w:r>
      <w:r w:rsidR="008B51C4">
        <w:rPr>
          <w:rFonts w:cs="Arial"/>
        </w:rPr>
        <w:t xml:space="preserve"> </w:t>
      </w:r>
      <w:r w:rsidR="008B51C4" w:rsidRPr="002444EE">
        <w:rPr>
          <w:rFonts w:cs="Arial"/>
          <w:b/>
        </w:rPr>
        <w:t>a</w:t>
      </w:r>
      <w:r w:rsidR="008B51C4" w:rsidRPr="00D07E34">
        <w:rPr>
          <w:rFonts w:cs="Arial"/>
        </w:rPr>
        <w:t> </w:t>
      </w:r>
      <w:r w:rsidR="008B51C4" w:rsidRPr="002444EE">
        <w:rPr>
          <w:rFonts w:cs="Arial"/>
          <w:b/>
        </w:rPr>
        <w:t xml:space="preserve"> „G“, bypassy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8B51C4">
        <w:rPr>
          <w:rFonts w:cs="Arial"/>
        </w:rPr>
        <w:t>Dražovce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7F498C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8B51C4" w:rsidRPr="008B51C4">
        <w:rPr>
          <w:rFonts w:cs="Arial"/>
        </w:rPr>
        <w:t>MOK 9,5/60, jednosmerná jednopruhová vetva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  <w:bookmarkStart w:id="14" w:name="_GoBack"/>
      <w:bookmarkEnd w:id="14"/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1E02F9" w:rsidRDefault="001E02F9" w:rsidP="00D66C94">
      <w:pPr>
        <w:rPr>
          <w:rFonts w:cs="Arial"/>
        </w:rPr>
      </w:pP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t>DOBA PLATNOSTI</w:t>
      </w:r>
      <w:bookmarkEnd w:id="15"/>
      <w:bookmarkEnd w:id="16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>Zoznam platných technicko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38311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383115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383115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383115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383115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383115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lastRenderedPageBreak/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C837A2">
        <w:rPr>
          <w:rFonts w:cs="Arial"/>
        </w:rPr>
        <w:t>august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C837A2" w:rsidRPr="00C837A2">
        <w:rPr>
          <w:rFonts w:cs="Arial"/>
        </w:rPr>
        <w:t>SO</w:t>
      </w:r>
      <w:r w:rsidR="00C837A2">
        <w:rPr>
          <w:rFonts w:cs="Arial"/>
        </w:rPr>
        <w:t xml:space="preserve"> 105 Účelová komunikácia medzi </w:t>
      </w:r>
      <w:r w:rsidR="00C837A2" w:rsidRPr="00C837A2">
        <w:rPr>
          <w:rFonts w:cs="Arial"/>
        </w:rPr>
        <w:t>križovatkou „D“ a „G“, bypassy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C837A2" w:rsidRPr="00C837A2">
        <w:rPr>
          <w:rFonts w:cs="Arial"/>
        </w:rPr>
        <w:t>SO 105 Účelová komunik</w:t>
      </w:r>
      <w:r w:rsidR="00C837A2">
        <w:rPr>
          <w:rFonts w:cs="Arial"/>
        </w:rPr>
        <w:t xml:space="preserve">ácia medzi </w:t>
      </w:r>
      <w:r w:rsidR="00C837A2" w:rsidRPr="00C837A2">
        <w:rPr>
          <w:rFonts w:cs="Arial"/>
        </w:rPr>
        <w:t>križovatkou „D“ a „G“, bypassy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2056FB" w:rsidP="002056FB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="00AA647E" w:rsidRPr="00D07E34">
        <w:rPr>
          <w:rFonts w:cs="Arial"/>
          <w:iCs/>
        </w:rPr>
        <w:t xml:space="preserve">  </w:t>
      </w:r>
      <w:r w:rsidR="00CF71B0">
        <w:rPr>
          <w:rFonts w:cs="Arial"/>
          <w:iCs/>
        </w:rPr>
        <w:t xml:space="preserve">     </w:t>
      </w:r>
      <w:r w:rsidR="00AA647E" w:rsidRPr="00D07E34">
        <w:rPr>
          <w:rFonts w:cs="Arial"/>
          <w:iCs/>
        </w:rPr>
        <w:t xml:space="preserve">  :   </w:t>
      </w:r>
      <w:r w:rsidR="00AA647E" w:rsidRPr="00D07E34">
        <w:rPr>
          <w:rFonts w:cs="Arial"/>
          <w:iCs/>
        </w:rPr>
        <w:tab/>
      </w:r>
      <w:r w:rsidRPr="002056FB">
        <w:rPr>
          <w:rFonts w:cs="Arial"/>
          <w:b/>
        </w:rPr>
        <w:t xml:space="preserve">SO 105 Účelová komunikácia medzi križovatkou „D“ a „G“, </w:t>
      </w:r>
      <w:r>
        <w:rPr>
          <w:rFonts w:cs="Arial"/>
          <w:b/>
        </w:rPr>
        <w:t xml:space="preserve">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bypassy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15" w:rsidRDefault="00383115" w:rsidP="00F9693C">
      <w:r>
        <w:separator/>
      </w:r>
    </w:p>
  </w:endnote>
  <w:endnote w:type="continuationSeparator" w:id="0">
    <w:p w:rsidR="00383115" w:rsidRDefault="00383115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A2" w:rsidRDefault="00C837A2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837A2" w:rsidRPr="00A01515" w:rsidRDefault="00C837A2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8B51C4">
      <w:rPr>
        <w:sz w:val="18"/>
        <w:szCs w:val="18"/>
      </w:rPr>
      <w:t>SO</w:t>
    </w:r>
    <w:r>
      <w:rPr>
        <w:sz w:val="18"/>
        <w:szCs w:val="18"/>
      </w:rPr>
      <w:t xml:space="preserve"> 105 Účelová komunikácia medzi </w:t>
    </w:r>
    <w:r w:rsidRPr="008B51C4">
      <w:rPr>
        <w:sz w:val="18"/>
        <w:szCs w:val="18"/>
      </w:rPr>
      <w:t>križovatkou „D“ a „G“, bypassy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531592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531592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C837A2" w:rsidRDefault="00C837A2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15" w:rsidRDefault="00383115" w:rsidP="00F9693C">
      <w:r>
        <w:separator/>
      </w:r>
    </w:p>
  </w:footnote>
  <w:footnote w:type="continuationSeparator" w:id="0">
    <w:p w:rsidR="00383115" w:rsidRDefault="00383115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A2" w:rsidRPr="00B176FB" w:rsidRDefault="00C837A2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C837A2" w:rsidRPr="00B176FB" w:rsidRDefault="00C837A2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837A2" w:rsidRPr="002A27D5" w:rsidRDefault="00C837A2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837A2" w:rsidRDefault="00C837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3115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CB608BAE-3041-4F8A-B088-8529D3CA6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6652D-87EE-4328-9DB6-57DA69626CEA}"/>
</file>

<file path=customXml/itemProps3.xml><?xml version="1.0" encoding="utf-8"?>
<ds:datastoreItem xmlns:ds="http://schemas.openxmlformats.org/officeDocument/2006/customXml" ds:itemID="{724C2E9A-D667-4D56-9B42-0AA99AB9DA04}"/>
</file>

<file path=customXml/itemProps4.xml><?xml version="1.0" encoding="utf-8"?>
<ds:datastoreItem xmlns:ds="http://schemas.openxmlformats.org/officeDocument/2006/customXml" ds:itemID="{74AD1AAC-BAB3-4D70-A6BD-8275FD9A3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12495</Words>
  <Characters>71222</Characters>
  <Application>Microsoft Office Word</Application>
  <DocSecurity>0</DocSecurity>
  <Lines>593</Lines>
  <Paragraphs>167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10</cp:revision>
  <cp:lastPrinted>2018-08-27T09:26:00Z</cp:lastPrinted>
  <dcterms:created xsi:type="dcterms:W3CDTF">2018-04-02T12:50:00Z</dcterms:created>
  <dcterms:modified xsi:type="dcterms:W3CDTF">2018-08-27T14:16:00Z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