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453D0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453D0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453D03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453D0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53D0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453D0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53D03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53D0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53D0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53D0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53D0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53D0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FB63A2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3697" w:rsidRPr="00433697" w:rsidRDefault="00433697" w:rsidP="00433697"/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0539CA" w:rsidRPr="00D07E34" w:rsidRDefault="00430E0C" w:rsidP="008B51C4">
      <w:pPr>
        <w:ind w:left="3540" w:hanging="3540"/>
        <w:jc w:val="left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C65AA4" w:rsidRPr="00C65AA4">
        <w:rPr>
          <w:rFonts w:cs="Arial"/>
          <w:b/>
          <w:sz w:val="22"/>
          <w:szCs w:val="22"/>
        </w:rPr>
        <w:t>SO 141  Chodníky a nástupištia pri obchvate</w:t>
      </w:r>
      <w:r w:rsidR="00C65AA4">
        <w:rPr>
          <w:rFonts w:cs="Arial"/>
          <w:b/>
          <w:sz w:val="22"/>
          <w:szCs w:val="22"/>
        </w:rPr>
        <w:t xml:space="preserve"> Dražoviec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8B51C4">
        <w:rPr>
          <w:rFonts w:cs="Arial"/>
        </w:rPr>
        <w:t>Dražovce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3697" w:rsidRDefault="00433697" w:rsidP="00433697">
      <w:pPr>
        <w:ind w:left="3544" w:hanging="3544"/>
        <w:rPr>
          <w:rFonts w:cs="Arial"/>
        </w:rPr>
      </w:pPr>
      <w:r>
        <w:rPr>
          <w:rFonts w:cs="Arial"/>
        </w:rPr>
        <w:t>Kategória c</w:t>
      </w:r>
      <w:r w:rsidR="00C65AA4">
        <w:rPr>
          <w:rFonts w:cs="Arial"/>
        </w:rPr>
        <w:t>hodníka</w:t>
      </w:r>
      <w:r>
        <w:rPr>
          <w:rFonts w:cs="Arial"/>
        </w:rPr>
        <w:t>:</w:t>
      </w:r>
      <w:r>
        <w:rPr>
          <w:rFonts w:cs="Arial"/>
        </w:rPr>
        <w:tab/>
      </w:r>
      <w:r w:rsidR="00C65AA4">
        <w:rPr>
          <w:rFonts w:cs="Arial"/>
        </w:rPr>
        <w:t>šírka 2,0 m</w:t>
      </w:r>
    </w:p>
    <w:p w:rsidR="00C65AA4" w:rsidRDefault="00C65AA4" w:rsidP="00C65AA4">
      <w:pPr>
        <w:spacing w:before="60" w:line="276" w:lineRule="auto"/>
        <w:rPr>
          <w:rFonts w:cs="Arial"/>
        </w:rPr>
      </w:pPr>
      <w:r>
        <w:rPr>
          <w:rFonts w:cs="Arial"/>
        </w:rPr>
        <w:t>Šírka zastávkovej niky</w:t>
      </w:r>
      <w:r w:rsidRPr="00F363B2">
        <w:rPr>
          <w:rFonts w:cs="Arial"/>
        </w:rPr>
        <w:tab/>
      </w:r>
      <w:r w:rsidRPr="00F363B2">
        <w:rPr>
          <w:rFonts w:cs="Arial"/>
        </w:rPr>
        <w:tab/>
        <w:t>:</w:t>
      </w:r>
      <w:r w:rsidRPr="00F363B2">
        <w:rPr>
          <w:rFonts w:cs="Arial"/>
        </w:rPr>
        <w:tab/>
      </w:r>
      <w:r>
        <w:rPr>
          <w:rFonts w:cs="Arial"/>
        </w:rPr>
        <w:t>3,75 m</w:t>
      </w:r>
    </w:p>
    <w:p w:rsidR="00C65AA4" w:rsidRDefault="00C65AA4" w:rsidP="00C65AA4">
      <w:pPr>
        <w:spacing w:before="60" w:line="276" w:lineRule="auto"/>
        <w:rPr>
          <w:rFonts w:cs="Arial"/>
        </w:rPr>
      </w:pPr>
      <w:r>
        <w:rPr>
          <w:rFonts w:cs="Arial"/>
        </w:rPr>
        <w:t>Šírka nástupištia</w:t>
      </w:r>
      <w:r w:rsidRPr="00F363B2">
        <w:rPr>
          <w:rFonts w:cs="Arial"/>
        </w:rPr>
        <w:tab/>
      </w:r>
      <w:r w:rsidRPr="00F363B2">
        <w:rPr>
          <w:rFonts w:cs="Arial"/>
        </w:rPr>
        <w:tab/>
        <w:t>:</w:t>
      </w:r>
      <w:r w:rsidRPr="00F363B2">
        <w:rPr>
          <w:rFonts w:cs="Arial"/>
        </w:rPr>
        <w:tab/>
      </w:r>
      <w:r>
        <w:rPr>
          <w:rFonts w:cs="Arial"/>
        </w:rPr>
        <w:t>2,5 m</w:t>
      </w:r>
    </w:p>
    <w:p w:rsidR="00430E0C" w:rsidRPr="00D07E34" w:rsidRDefault="0005032E" w:rsidP="00D66C94">
      <w:pPr>
        <w:spacing w:before="60"/>
        <w:rPr>
          <w:rFonts w:cs="Arial"/>
          <w:b/>
          <w:bCs/>
          <w:i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 w:rsidR="00322833">
        <w:rPr>
          <w:rFonts w:cs="Arial"/>
          <w:bCs/>
        </w:rPr>
        <w:t>M</w:t>
      </w:r>
      <w:r w:rsidR="00B965AB" w:rsidRPr="00B965AB">
        <w:rPr>
          <w:rFonts w:cs="Arial"/>
          <w:bCs/>
        </w:rPr>
        <w:t>esto Nitra</w:t>
      </w:r>
      <w:bookmarkStart w:id="8" w:name="_GoBack"/>
      <w:bookmarkEnd w:id="8"/>
    </w:p>
    <w:p w:rsidR="00514171" w:rsidRPr="00D07E34" w:rsidRDefault="00514171" w:rsidP="00D66C94">
      <w:pPr>
        <w:rPr>
          <w:rFonts w:cs="Arial"/>
          <w:b/>
          <w:bCs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>STRABAG s.r.o., Mlynské Nivy 61/A, 825 18 Bratislava</w:t>
      </w:r>
      <w:bookmarkEnd w:id="9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10"/>
      <w:bookmarkEnd w:id="11"/>
      <w:bookmarkEnd w:id="12"/>
      <w:bookmarkEnd w:id="13"/>
      <w:bookmarkEnd w:id="14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531592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A01515" w:rsidRPr="00D07E34" w:rsidRDefault="00A01515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03881516"/>
      <w:r w:rsidRPr="00D07E34">
        <w:rPr>
          <w:rFonts w:cs="Arial"/>
          <w:bCs/>
        </w:rPr>
        <w:t>DOBA PLATNOSTI</w:t>
      </w:r>
      <w:bookmarkEnd w:id="15"/>
      <w:bookmarkEnd w:id="16"/>
    </w:p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7" w:name="_Toc432424051"/>
      <w:bookmarkStart w:id="18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7"/>
      <w:bookmarkEnd w:id="18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9" w:name="_Toc432424052"/>
      <w:bookmarkStart w:id="20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9"/>
      <w:bookmarkEnd w:id="20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03881520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4" w:name="_Toc432424055"/>
      <w:bookmarkStart w:id="25" w:name="_Toc503881521"/>
      <w:r w:rsidRPr="00D07E34">
        <w:rPr>
          <w:rFonts w:cs="Arial"/>
          <w:b/>
        </w:rPr>
        <w:t>Zákony, vyhlášky</w:t>
      </w:r>
      <w:bookmarkEnd w:id="24"/>
      <w:bookmarkEnd w:id="25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03881523"/>
      <w:r w:rsidRPr="00D07E34">
        <w:rPr>
          <w:rFonts w:cs="Arial"/>
          <w:b/>
        </w:rPr>
        <w:t>Zoznam platných technicko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1" w:name="_Toc503881524"/>
      <w:r w:rsidRPr="00D07E34">
        <w:rPr>
          <w:rFonts w:cs="Arial"/>
          <w:b/>
          <w:bCs/>
        </w:rPr>
        <w:t>Materiálové katalógové listy - doplnok k TKP</w:t>
      </w:r>
      <w:bookmarkEnd w:id="31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453D0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2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2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453D0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453D0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453D0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453D0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453D0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Váhostav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8"/>
      <w:bookmarkStart w:id="34" w:name="_Toc503881526"/>
      <w:r w:rsidRPr="00D07E34">
        <w:rPr>
          <w:rFonts w:cs="Arial"/>
          <w:bCs/>
        </w:rPr>
        <w:lastRenderedPageBreak/>
        <w:t>ÚČEL</w:t>
      </w:r>
      <w:bookmarkEnd w:id="33"/>
      <w:bookmarkEnd w:id="34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5" w:name="_Toc432424059"/>
      <w:bookmarkStart w:id="36" w:name="_Toc503881527"/>
      <w:r w:rsidRPr="00D07E34">
        <w:rPr>
          <w:rFonts w:cs="Arial"/>
          <w:bCs/>
        </w:rPr>
        <w:t>SMERNÝ OBSAH MANUÁLU</w:t>
      </w:r>
      <w:bookmarkEnd w:id="35"/>
      <w:bookmarkEnd w:id="36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7" w:name="_Toc432424060"/>
      <w:bookmarkStart w:id="38" w:name="_Toc503881528"/>
      <w:r w:rsidRPr="00D07E34">
        <w:rPr>
          <w:rFonts w:cs="Arial"/>
          <w:bCs/>
        </w:rPr>
        <w:t>POUŽÍVANIE MANUÁLU</w:t>
      </w:r>
      <w:bookmarkEnd w:id="37"/>
      <w:bookmarkEnd w:id="38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9" w:name="_Toc432424061"/>
      <w:bookmarkStart w:id="40" w:name="_Toc503881529"/>
      <w:r w:rsidRPr="00D07E34">
        <w:rPr>
          <w:rFonts w:cs="Arial"/>
          <w:bCs/>
        </w:rPr>
        <w:t>ZÁVÄZNÝ OBSAH MANUÁLU UŽÍVANIA STAVBY (OBJEKTU)</w:t>
      </w:r>
      <w:bookmarkEnd w:id="39"/>
      <w:bookmarkEnd w:id="40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1" w:name="_Toc432424062"/>
      <w:bookmarkStart w:id="42" w:name="_Toc503881530"/>
      <w:r w:rsidRPr="00D07E34">
        <w:rPr>
          <w:rFonts w:cs="Arial"/>
          <w:b/>
        </w:rPr>
        <w:t>8.1   Popis skutočného stavu objektu</w:t>
      </w:r>
      <w:bookmarkEnd w:id="41"/>
      <w:bookmarkEnd w:id="42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3"/>
      <w:bookmarkStart w:id="44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3"/>
      <w:bookmarkEnd w:id="44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432424064"/>
      <w:bookmarkStart w:id="46" w:name="_Toc503881532"/>
      <w:r w:rsidRPr="00D07E34">
        <w:rPr>
          <w:rFonts w:cs="Arial"/>
          <w:b/>
        </w:rPr>
        <w:t>8.1.2 Povinnosti prevádzkovateľa:</w:t>
      </w:r>
      <w:bookmarkEnd w:id="45"/>
      <w:bookmarkEnd w:id="46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432424065"/>
      <w:bookmarkStart w:id="48" w:name="_Toc503881533"/>
      <w:r w:rsidRPr="00D07E34">
        <w:rPr>
          <w:rFonts w:cs="Arial"/>
          <w:b/>
        </w:rPr>
        <w:t xml:space="preserve">8.2  Pravidlá užívania a údržby </w:t>
      </w:r>
      <w:bookmarkEnd w:id="47"/>
      <w:r w:rsidR="009401FC" w:rsidRPr="00D07E34">
        <w:rPr>
          <w:rFonts w:cs="Arial"/>
          <w:b/>
        </w:rPr>
        <w:t>komunikácie</w:t>
      </w:r>
      <w:bookmarkEnd w:id="48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9" w:name="_Toc432424066"/>
      <w:bookmarkStart w:id="50" w:name="_Toc503881534"/>
      <w:r w:rsidRPr="00D07E34">
        <w:rPr>
          <w:rFonts w:cs="Arial"/>
          <w:b/>
        </w:rPr>
        <w:t>8.2.1 Nepretržitú odbornú technickú údržbu</w:t>
      </w:r>
      <w:bookmarkEnd w:id="49"/>
      <w:bookmarkEnd w:id="50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67"/>
      <w:bookmarkStart w:id="52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1"/>
      <w:r w:rsidR="0058008B" w:rsidRPr="00D07E34">
        <w:rPr>
          <w:rFonts w:cs="Arial"/>
          <w:b/>
          <w:bCs/>
        </w:rPr>
        <w:t xml:space="preserve"> komunikácie</w:t>
      </w:r>
      <w:bookmarkEnd w:id="52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3" w:name="_Toc432424068"/>
      <w:bookmarkStart w:id="54" w:name="_Toc503881536"/>
      <w:r w:rsidRPr="00D07E34">
        <w:rPr>
          <w:rFonts w:cs="Arial"/>
          <w:b/>
        </w:rPr>
        <w:t>8.2.3 Podkladom pre výkon údržby a opráv sú najmä:</w:t>
      </w:r>
      <w:bookmarkEnd w:id="53"/>
      <w:bookmarkEnd w:id="54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432424069"/>
      <w:bookmarkStart w:id="56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5"/>
      <w:r w:rsidR="00111D3A" w:rsidRPr="00D07E34">
        <w:rPr>
          <w:rFonts w:cs="Arial"/>
          <w:b/>
          <w:bCs/>
        </w:rPr>
        <w:t>komunikácie</w:t>
      </w:r>
      <w:bookmarkEnd w:id="56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432424070"/>
      <w:bookmarkStart w:id="58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7"/>
      <w:r w:rsidR="00111D3A" w:rsidRPr="00D07E34">
        <w:rPr>
          <w:rFonts w:cs="Arial"/>
          <w:b/>
          <w:bCs/>
        </w:rPr>
        <w:t>komunikácie</w:t>
      </w:r>
      <w:bookmarkEnd w:id="58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9" w:name="_Toc432424071"/>
      <w:bookmarkStart w:id="60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9"/>
      <w:bookmarkEnd w:id="60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432424072"/>
      <w:bookmarkStart w:id="62" w:name="_Toc503881540"/>
      <w:r w:rsidRPr="00D07E34">
        <w:rPr>
          <w:rFonts w:cs="Arial"/>
          <w:b/>
        </w:rPr>
        <w:lastRenderedPageBreak/>
        <w:t>8.3.2  Bežné prehliadky</w:t>
      </w:r>
      <w:bookmarkEnd w:id="61"/>
      <w:bookmarkEnd w:id="62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3" w:name="_Toc432424073"/>
      <w:bookmarkStart w:id="64" w:name="_Toc503881541"/>
      <w:r w:rsidRPr="00D07E34">
        <w:rPr>
          <w:rFonts w:cs="Arial"/>
          <w:b/>
        </w:rPr>
        <w:t>8.3.3 Hlavné prehliadky</w:t>
      </w:r>
      <w:bookmarkEnd w:id="63"/>
      <w:bookmarkEnd w:id="64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4"/>
      <w:bookmarkStart w:id="66" w:name="_Toc503881542"/>
      <w:r w:rsidRPr="00D07E34">
        <w:rPr>
          <w:rFonts w:cs="Arial"/>
          <w:b/>
        </w:rPr>
        <w:t>8.3.4 Mimoriadne prehliadky</w:t>
      </w:r>
      <w:bookmarkEnd w:id="65"/>
      <w:bookmarkEnd w:id="66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5"/>
      <w:bookmarkStart w:id="68" w:name="_Toc503881543"/>
      <w:r w:rsidRPr="00D07E34">
        <w:rPr>
          <w:rFonts w:cs="Arial"/>
          <w:b/>
        </w:rPr>
        <w:t xml:space="preserve">8.3.5 Vyhodnotenie prehliadok </w:t>
      </w:r>
      <w:bookmarkEnd w:id="67"/>
      <w:r w:rsidR="0066294F" w:rsidRPr="00D07E34">
        <w:rPr>
          <w:rFonts w:cs="Arial"/>
          <w:b/>
        </w:rPr>
        <w:t>komunikácie</w:t>
      </w:r>
      <w:bookmarkEnd w:id="68"/>
    </w:p>
    <w:p w:rsidR="007B789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9" w:name="_Toc432424076"/>
      <w:bookmarkStart w:id="70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9"/>
      <w:bookmarkEnd w:id="70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7"/>
      <w:bookmarkStart w:id="72" w:name="_Toc503881545"/>
      <w:r w:rsidRPr="00D07E34">
        <w:rPr>
          <w:rFonts w:cs="Arial"/>
          <w:b/>
        </w:rPr>
        <w:t>8.4.1 Údržba a opravy všeobecne</w:t>
      </w:r>
      <w:bookmarkEnd w:id="71"/>
      <w:bookmarkEnd w:id="72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432424078"/>
      <w:bookmarkStart w:id="74" w:name="_Toc503881546"/>
      <w:r w:rsidRPr="00D07E34">
        <w:rPr>
          <w:rFonts w:cs="Arial"/>
          <w:b/>
        </w:rPr>
        <w:lastRenderedPageBreak/>
        <w:t xml:space="preserve">8.4.2 Pravidlá údržby </w:t>
      </w:r>
      <w:bookmarkEnd w:id="73"/>
      <w:r w:rsidR="00FB51EF" w:rsidRPr="00D07E34">
        <w:rPr>
          <w:rFonts w:cs="Arial"/>
          <w:b/>
        </w:rPr>
        <w:t>komunikácie</w:t>
      </w:r>
      <w:bookmarkEnd w:id="7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D6102" w:rsidRDefault="006D6102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D6102" w:rsidRDefault="006D6102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D6102" w:rsidRDefault="006D6102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27105A">
        <w:rPr>
          <w:rFonts w:cs="Arial"/>
        </w:rPr>
        <w:t>november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6861E3" w:rsidRPr="006861E3">
        <w:rPr>
          <w:rFonts w:cs="Arial"/>
          <w:b/>
          <w:i/>
        </w:rPr>
        <w:t>Kristián Nitriansky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31473A" w:rsidRPr="00D07E34" w:rsidRDefault="0031473A" w:rsidP="002056FB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27105A" w:rsidRPr="0027105A">
        <w:rPr>
          <w:rFonts w:cs="Arial"/>
        </w:rPr>
        <w:t>SO 141  Chodníky a nástupištia pri obchvate Dražoviec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27105A" w:rsidRPr="0027105A">
        <w:rPr>
          <w:rFonts w:cs="Arial"/>
        </w:rPr>
        <w:t>SO 141  Chodníky a nástupištia pri obchvate Dražoviec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D07E34" w:rsidRDefault="002056FB" w:rsidP="002056FB">
      <w:pPr>
        <w:jc w:val="left"/>
        <w:rPr>
          <w:rFonts w:cs="Arial"/>
          <w:iCs/>
        </w:rPr>
      </w:pPr>
      <w:r>
        <w:rPr>
          <w:rFonts w:cs="Arial"/>
          <w:szCs w:val="28"/>
        </w:rPr>
        <w:t xml:space="preserve">Objekt                       </w:t>
      </w:r>
      <w:r>
        <w:rPr>
          <w:rFonts w:cs="Arial"/>
          <w:iCs/>
        </w:rPr>
        <w:t xml:space="preserve">    </w:t>
      </w:r>
      <w:r w:rsidR="00AA647E" w:rsidRPr="00D07E34">
        <w:rPr>
          <w:rFonts w:cs="Arial"/>
          <w:iCs/>
        </w:rPr>
        <w:t xml:space="preserve">  </w:t>
      </w:r>
      <w:r w:rsidR="00CF71B0">
        <w:rPr>
          <w:rFonts w:cs="Arial"/>
          <w:iCs/>
        </w:rPr>
        <w:t xml:space="preserve">     </w:t>
      </w:r>
      <w:r w:rsidR="00AA647E" w:rsidRPr="00D07E34">
        <w:rPr>
          <w:rFonts w:cs="Arial"/>
          <w:iCs/>
        </w:rPr>
        <w:t xml:space="preserve">  :   </w:t>
      </w:r>
      <w:r w:rsidR="00AA647E" w:rsidRPr="00D07E34">
        <w:rPr>
          <w:rFonts w:cs="Arial"/>
          <w:iCs/>
        </w:rPr>
        <w:tab/>
      </w:r>
      <w:r w:rsidR="0027105A" w:rsidRPr="0027105A">
        <w:rPr>
          <w:rFonts w:cs="Arial"/>
          <w:b/>
        </w:rPr>
        <w:t>SO 141  Chodníky a nástupištia pri obchvate Dražoviec</w:t>
      </w:r>
      <w:r w:rsidR="004F6ADB">
        <w:rPr>
          <w:rFonts w:cs="Arial"/>
          <w:b/>
        </w:rPr>
        <w:tab/>
      </w:r>
      <w:r w:rsidR="004F6ADB">
        <w:rPr>
          <w:rFonts w:cs="Arial"/>
          <w:b/>
        </w:rPr>
        <w:tab/>
      </w:r>
      <w:r w:rsidR="004F6ADB">
        <w:rPr>
          <w:rFonts w:cs="Arial"/>
          <w:b/>
        </w:rPr>
        <w:tab/>
        <w:t xml:space="preserve">             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  <w:r w:rsidR="00B965AB">
        <w:rPr>
          <w:rFonts w:cs="Arial"/>
          <w:szCs w:val="28"/>
        </w:rPr>
        <w:t>Mesto Nitra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B965AB" w:rsidRPr="00B965AB">
        <w:rPr>
          <w:rFonts w:cs="Arial"/>
        </w:rPr>
        <w:t>Mesto Nitra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="00B965AB">
        <w:rPr>
          <w:rFonts w:cs="Arial"/>
        </w:rPr>
        <w:t xml:space="preserve">              </w:t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CF71B0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03" w:rsidRDefault="00453D03" w:rsidP="00F9693C">
      <w:r>
        <w:separator/>
      </w:r>
    </w:p>
  </w:endnote>
  <w:endnote w:type="continuationSeparator" w:id="0">
    <w:p w:rsidR="00453D03" w:rsidRDefault="00453D03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A4" w:rsidRDefault="00C65AA4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C65AA4" w:rsidRPr="00A01515" w:rsidRDefault="00C65AA4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C65AA4">
      <w:rPr>
        <w:sz w:val="18"/>
        <w:szCs w:val="18"/>
      </w:rPr>
      <w:t>SO 141  Chodníky a nástupištia pri obchvate</w:t>
    </w:r>
    <w:r w:rsidR="002E56E2">
      <w:rPr>
        <w:sz w:val="18"/>
        <w:szCs w:val="18"/>
      </w:rPr>
      <w:t xml:space="preserve"> Dražoviec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FB63A2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FB63A2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C65AA4" w:rsidRDefault="00C65AA4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03" w:rsidRDefault="00453D03" w:rsidP="00F9693C">
      <w:r>
        <w:separator/>
      </w:r>
    </w:p>
  </w:footnote>
  <w:footnote w:type="continuationSeparator" w:id="0">
    <w:p w:rsidR="00453D03" w:rsidRDefault="00453D03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A4" w:rsidRPr="00B176FB" w:rsidRDefault="00C65AA4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C65AA4" w:rsidRPr="00B176FB" w:rsidRDefault="00C65AA4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C65AA4" w:rsidRPr="002A27D5" w:rsidRDefault="00C65AA4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C65AA4" w:rsidRDefault="00C65AA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01B6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3A36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2E4E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3CFB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6FB"/>
    <w:rsid w:val="00205E50"/>
    <w:rsid w:val="00206BB5"/>
    <w:rsid w:val="002100E7"/>
    <w:rsid w:val="00211032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105A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56E2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2833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3115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697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D03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6ADB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592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6102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1C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3BA"/>
    <w:rsid w:val="008F7C0B"/>
    <w:rsid w:val="009002FD"/>
    <w:rsid w:val="00900F8D"/>
    <w:rsid w:val="0090140B"/>
    <w:rsid w:val="00904697"/>
    <w:rsid w:val="00905C1D"/>
    <w:rsid w:val="00905D0A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35E85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965AB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5AA4"/>
    <w:rsid w:val="00C660C3"/>
    <w:rsid w:val="00C71788"/>
    <w:rsid w:val="00C7206A"/>
    <w:rsid w:val="00C771B3"/>
    <w:rsid w:val="00C80204"/>
    <w:rsid w:val="00C8185E"/>
    <w:rsid w:val="00C829CC"/>
    <w:rsid w:val="00C83578"/>
    <w:rsid w:val="00C837A2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CF71B0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47DE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028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A575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B63A2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A29F9D0E-B2EF-4963-BAAB-1E01001EE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8DBB2-8CBB-45FF-9D0F-B83A83335D05}"/>
</file>

<file path=customXml/itemProps3.xml><?xml version="1.0" encoding="utf-8"?>
<ds:datastoreItem xmlns:ds="http://schemas.openxmlformats.org/officeDocument/2006/customXml" ds:itemID="{843E40AB-2A49-4D1E-9ED3-E580627457C7}"/>
</file>

<file path=customXml/itemProps4.xml><?xml version="1.0" encoding="utf-8"?>
<ds:datastoreItem xmlns:ds="http://schemas.openxmlformats.org/officeDocument/2006/customXml" ds:itemID="{1AA83828-6E4F-41B1-BBB9-6D1844CE5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12497</Words>
  <Characters>71238</Characters>
  <Application>Microsoft Office Word</Application>
  <DocSecurity>0</DocSecurity>
  <Lines>593</Lines>
  <Paragraphs>167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Nitriansky Kristián Ing.</cp:lastModifiedBy>
  <cp:revision>21</cp:revision>
  <cp:lastPrinted>2018-11-07T08:12:00Z</cp:lastPrinted>
  <dcterms:created xsi:type="dcterms:W3CDTF">2018-04-02T12:50:00Z</dcterms:created>
  <dcterms:modified xsi:type="dcterms:W3CDTF">2018-11-07T08:13:00Z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